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F53B" w14:textId="77777777" w:rsidR="00070FFE" w:rsidRDefault="00F94E0F" w:rsidP="00F94E0F">
      <w:pPr>
        <w:pStyle w:val="Pardfaut"/>
        <w:suppressAutoHyphens/>
        <w:spacing w:before="0" w:after="299" w:line="240" w:lineRule="auto"/>
        <w:jc w:val="center"/>
        <w:rPr>
          <w:rFonts w:ascii="Garamond" w:hAnsi="Garamond"/>
          <w:b/>
          <w:bCs/>
          <w:sz w:val="34"/>
          <w:szCs w:val="34"/>
          <w:lang w:val="en-US"/>
        </w:rPr>
      </w:pPr>
      <w:r w:rsidRPr="00561087">
        <w:rPr>
          <w:rFonts w:ascii="Garamond" w:hAnsi="Garamond"/>
          <w:b/>
          <w:bCs/>
          <w:sz w:val="34"/>
          <w:szCs w:val="34"/>
          <w:lang w:val="en-US"/>
        </w:rPr>
        <w:t xml:space="preserve">Call for </w:t>
      </w:r>
      <w:r w:rsidR="00E60279">
        <w:rPr>
          <w:rFonts w:ascii="Garamond" w:hAnsi="Garamond"/>
          <w:b/>
          <w:bCs/>
          <w:sz w:val="34"/>
          <w:szCs w:val="34"/>
          <w:lang w:val="en-US"/>
        </w:rPr>
        <w:t>inputs</w:t>
      </w:r>
      <w:r w:rsidR="00E60279" w:rsidRPr="00561087">
        <w:rPr>
          <w:rFonts w:ascii="Garamond" w:hAnsi="Garamond"/>
          <w:b/>
          <w:bCs/>
          <w:sz w:val="34"/>
          <w:szCs w:val="34"/>
          <w:lang w:val="en-US"/>
        </w:rPr>
        <w:t xml:space="preserve"> </w:t>
      </w:r>
    </w:p>
    <w:p w14:paraId="55D86F69" w14:textId="25C2A0B3" w:rsidR="00F94E0F" w:rsidRPr="00561087" w:rsidRDefault="00F94E0F" w:rsidP="00F94E0F">
      <w:pPr>
        <w:pStyle w:val="Pardfaut"/>
        <w:suppressAutoHyphens/>
        <w:spacing w:before="0" w:after="299" w:line="240" w:lineRule="auto"/>
        <w:jc w:val="center"/>
        <w:rPr>
          <w:rFonts w:ascii="Garamond" w:eastAsia="Garamond" w:hAnsi="Garamond" w:cs="Garamond"/>
          <w:b/>
          <w:bCs/>
          <w:sz w:val="34"/>
          <w:szCs w:val="34"/>
          <w:lang w:val="en-US"/>
        </w:rPr>
      </w:pPr>
      <w:r>
        <w:rPr>
          <w:rFonts w:ascii="Garamond" w:hAnsi="Garamond"/>
          <w:b/>
          <w:bCs/>
          <w:sz w:val="34"/>
          <w:szCs w:val="34"/>
          <w:lang w:val="en-US"/>
        </w:rPr>
        <w:t>General Comment on the Application of the International Covenant on Economic, Social and Cultural Rights in Situations of Armed Conflicts</w:t>
      </w:r>
    </w:p>
    <w:p w14:paraId="6E313B3B" w14:textId="0BEDEB7D" w:rsidR="00F94E0F" w:rsidRDefault="00F94E0F" w:rsidP="00305EF6">
      <w:r>
        <w:t xml:space="preserve">At its seventy-eighth session, the Committee on Economic, Social and Cultural Rights decided that its next general comment would elaborate on the application of the International Covenant on Economic, Social and Cultural Rights (ICESCR) in situations of armed conflicts. To this end, the Committee </w:t>
      </w:r>
      <w:r w:rsidR="00305EF6">
        <w:t>designated Ludovic Hennebel as the</w:t>
      </w:r>
      <w:r>
        <w:t xml:space="preserve"> Rapporteur </w:t>
      </w:r>
      <w:proofErr w:type="gramStart"/>
      <w:r>
        <w:t xml:space="preserve">and </w:t>
      </w:r>
      <w:r w:rsidR="00305EF6">
        <w:t>further</w:t>
      </w:r>
      <w:proofErr w:type="gramEnd"/>
      <w:r w:rsidR="00305EF6">
        <w:t xml:space="preserve"> </w:t>
      </w:r>
      <w:r>
        <w:t>established a Drafting Group to coordinate the work on the preparation of the general comment.</w:t>
      </w:r>
    </w:p>
    <w:p w14:paraId="7CBDB832" w14:textId="77777777" w:rsidR="00F94E0F" w:rsidRDefault="00F94E0F" w:rsidP="00F94E0F"/>
    <w:p w14:paraId="07C12BFD" w14:textId="416FC292" w:rsidR="00F94E0F" w:rsidRDefault="00F94E0F" w:rsidP="00F94E0F">
      <w:r>
        <w:t xml:space="preserve">As a first step, the Committee has undertaken preparatory work on a concept note to guide </w:t>
      </w:r>
      <w:r w:rsidR="005A3F8E">
        <w:t>the process</w:t>
      </w:r>
      <w:r>
        <w:t xml:space="preserve">. The present call for inputs seeks written contributions on the issues identified in the concept note. Submissions received will inform the Committee’s </w:t>
      </w:r>
      <w:r w:rsidR="005A3F8E">
        <w:t xml:space="preserve">work </w:t>
      </w:r>
      <w:r>
        <w:t xml:space="preserve">as it proceeds with the drafting of the general comment. </w:t>
      </w:r>
    </w:p>
    <w:p w14:paraId="46BB04B5" w14:textId="77777777" w:rsidR="00F94E0F" w:rsidRDefault="00F94E0F" w:rsidP="00F94E0F"/>
    <w:p w14:paraId="71BA2883" w14:textId="305363D1" w:rsidR="00F94E0F" w:rsidRDefault="00F94E0F" w:rsidP="00F94E0F">
      <w:r>
        <w:t>Subject to the availability of resources, the Committee envisages launching a second call for inputs at a later stage once a draft general comment is available, as well as organizing stakeholder consultations.</w:t>
      </w:r>
    </w:p>
    <w:p w14:paraId="7F6066C4" w14:textId="77777777" w:rsidR="00F94E0F" w:rsidRDefault="00F94E0F" w:rsidP="00F94E0F"/>
    <w:p w14:paraId="5264B163" w14:textId="2F50DC7F" w:rsidR="00070FFE" w:rsidRDefault="00070FFE" w:rsidP="00F94E0F">
      <w:r w:rsidRPr="00070FFE">
        <w:t xml:space="preserve">In this context, the Committee invites all interested stakeholders to submit written inputs addressing the issues set out in the concept note, including States parties to the Covenant; United Nations funds, </w:t>
      </w:r>
      <w:proofErr w:type="spellStart"/>
      <w:r w:rsidRPr="00070FFE">
        <w:t>programmes</w:t>
      </w:r>
      <w:proofErr w:type="spellEnd"/>
      <w:r w:rsidRPr="00070FFE">
        <w:t xml:space="preserve"> and specialized agencies; national, regional and international human rights institutions and mechanisms; academic institutions and scholars, research </w:t>
      </w:r>
      <w:proofErr w:type="spellStart"/>
      <w:r w:rsidRPr="00070FFE">
        <w:t>centres</w:t>
      </w:r>
      <w:proofErr w:type="spellEnd"/>
      <w:r w:rsidRPr="00070FFE">
        <w:t xml:space="preserve"> and legal clinics; civil society organizations; and other subject-matter experts.</w:t>
      </w:r>
    </w:p>
    <w:p w14:paraId="32CC4D09" w14:textId="77777777" w:rsidR="00F94E0F" w:rsidRDefault="00F94E0F" w:rsidP="00F94E0F"/>
    <w:p w14:paraId="62B41687" w14:textId="7AF3A8CD" w:rsidR="00F94E0F" w:rsidRPr="00A566D3" w:rsidRDefault="00F94E0F" w:rsidP="00F94E0F">
      <w:pPr>
        <w:rPr>
          <w:b/>
          <w:bCs/>
        </w:rPr>
      </w:pPr>
      <w:r w:rsidRPr="00305EF6">
        <w:t>Submission email:</w:t>
      </w:r>
      <w:r w:rsidR="00305EF6" w:rsidRPr="00305EF6">
        <w:t xml:space="preserve"> </w:t>
      </w:r>
      <w:r w:rsidR="00A566D3" w:rsidRPr="00A566D3">
        <w:rPr>
          <w:b/>
          <w:bCs/>
        </w:rPr>
        <w:t xml:space="preserve">ohchr-cescr-armedconflicts@un.org </w:t>
      </w:r>
    </w:p>
    <w:p w14:paraId="31D12517" w14:textId="42268046" w:rsidR="00F94E0F" w:rsidRDefault="00F94E0F" w:rsidP="00F94E0F">
      <w:r>
        <w:t>Deadline for submissions:</w:t>
      </w:r>
      <w:r w:rsidRPr="00A566D3">
        <w:rPr>
          <w:b/>
          <w:bCs/>
        </w:rPr>
        <w:t> </w:t>
      </w:r>
      <w:r w:rsidR="00930480">
        <w:rPr>
          <w:b/>
          <w:bCs/>
        </w:rPr>
        <w:t>15</w:t>
      </w:r>
      <w:r w:rsidR="00A566D3" w:rsidRPr="00A566D3">
        <w:rPr>
          <w:b/>
          <w:bCs/>
        </w:rPr>
        <w:t xml:space="preserve"> May 2026</w:t>
      </w:r>
      <w:r>
        <w:t xml:space="preserve"> </w:t>
      </w:r>
    </w:p>
    <w:p w14:paraId="3F88BA59" w14:textId="5E5416A1" w:rsidR="00F94E0F" w:rsidRDefault="00F94E0F" w:rsidP="00F94E0F">
      <w:r>
        <w:t xml:space="preserve">Submission languages:  The </w:t>
      </w:r>
      <w:r w:rsidR="00A566D3">
        <w:t xml:space="preserve">submissions should be made in one of </w:t>
      </w:r>
      <w:r>
        <w:t>Committee’s</w:t>
      </w:r>
      <w:r w:rsidR="00A566D3">
        <w:t xml:space="preserve"> three</w:t>
      </w:r>
      <w:r>
        <w:t xml:space="preserve"> working languages</w:t>
      </w:r>
      <w:r w:rsidR="00A566D3">
        <w:t>, namely</w:t>
      </w:r>
      <w:r>
        <w:t xml:space="preserve"> English, French </w:t>
      </w:r>
      <w:r w:rsidR="00A566D3">
        <w:t>or</w:t>
      </w:r>
      <w:r>
        <w:t xml:space="preserve"> Spanish. </w:t>
      </w:r>
    </w:p>
    <w:p w14:paraId="7B61BDBF" w14:textId="77777777" w:rsidR="00F94E0F" w:rsidRDefault="00F94E0F" w:rsidP="00F94E0F">
      <w:r>
        <w:t xml:space="preserve">Length: Up to 3,000 words (references and annexes may be included as necessary) </w:t>
      </w:r>
    </w:p>
    <w:p w14:paraId="6FB94B49" w14:textId="77777777" w:rsidR="00F94E0F" w:rsidRDefault="00F94E0F" w:rsidP="00F94E0F">
      <w:r>
        <w:t>Format: </w:t>
      </w:r>
      <w:proofErr w:type="gramStart"/>
      <w:r>
        <w:t>Word (.</w:t>
      </w:r>
      <w:proofErr w:type="gramEnd"/>
      <w:r>
        <w:t xml:space="preserve">docx) </w:t>
      </w:r>
    </w:p>
    <w:p w14:paraId="328A15F3" w14:textId="77777777" w:rsidR="00F94E0F" w:rsidRDefault="00F94E0F" w:rsidP="00F94E0F">
      <w:r>
        <w:t xml:space="preserve">Email subject line: “Submission – ICESCR Armed Conflicts (General Comment)” </w:t>
      </w:r>
    </w:p>
    <w:p w14:paraId="5568CE40" w14:textId="77777777" w:rsidR="00F94E0F" w:rsidRDefault="00F94E0F" w:rsidP="00F94E0F"/>
    <w:p w14:paraId="495E565A" w14:textId="30BD49F0" w:rsidR="00F94E0F" w:rsidRDefault="00F94E0F" w:rsidP="00F94E0F">
      <w:r>
        <w:t xml:space="preserve">Submissions may include: </w:t>
      </w:r>
    </w:p>
    <w:p w14:paraId="43239D00" w14:textId="77777777" w:rsidR="00F94E0F" w:rsidRDefault="00F94E0F" w:rsidP="00F94E0F">
      <w:r>
        <w:t xml:space="preserve">An optional abstract of 150–200 words </w:t>
      </w:r>
    </w:p>
    <w:p w14:paraId="484AEED4" w14:textId="77777777" w:rsidR="00F94E0F" w:rsidRDefault="00F94E0F" w:rsidP="00F94E0F">
      <w:r>
        <w:t xml:space="preserve">The main written submission </w:t>
      </w:r>
    </w:p>
    <w:p w14:paraId="7DB90F15" w14:textId="77777777" w:rsidR="00F94E0F" w:rsidRDefault="00F94E0F" w:rsidP="00F94E0F">
      <w:r>
        <w:t xml:space="preserve">A brief description of the author(s) and/or institution(s) </w:t>
      </w:r>
    </w:p>
    <w:p w14:paraId="3F849130" w14:textId="6F5699F0" w:rsidR="00F94E0F" w:rsidRDefault="00F94E0F" w:rsidP="00F94E0F">
      <w:r>
        <w:t>An indication of whether confidentiality is requested</w:t>
      </w:r>
    </w:p>
    <w:p w14:paraId="6C928B69" w14:textId="684CC9C8" w:rsidR="00F94E0F" w:rsidRDefault="00F94E0F" w:rsidP="00F94E0F">
      <w:r>
        <w:t>Unless confidentiality is expressly requested</w:t>
      </w:r>
      <w:r w:rsidR="00747EE7">
        <w:t xml:space="preserve"> in full or in part</w:t>
      </w:r>
      <w:r>
        <w:t>, submissions will be made publicly available on the Committee’s webpage.</w:t>
      </w:r>
    </w:p>
    <w:p w14:paraId="6140E448" w14:textId="77777777" w:rsidR="00747EE7" w:rsidRDefault="00747EE7" w:rsidP="00F94E0F"/>
    <w:p w14:paraId="78A81A36" w14:textId="64E5E6C7" w:rsidR="003D3C76" w:rsidRDefault="00F94E0F" w:rsidP="00305EF6">
      <w:r>
        <w:t>For any inquiries, please contact</w:t>
      </w:r>
      <w:r w:rsidR="00305EF6">
        <w:t xml:space="preserve">: </w:t>
      </w:r>
      <w:r w:rsidR="00A566D3" w:rsidRPr="00A566D3">
        <w:rPr>
          <w:b/>
          <w:bCs/>
        </w:rPr>
        <w:t xml:space="preserve">ohchr-cescr-armedconflicts@un.org </w:t>
      </w:r>
    </w:p>
    <w:p w14:paraId="53143A6D" w14:textId="77777777" w:rsidR="004C5179" w:rsidRDefault="004C5179" w:rsidP="00305EF6"/>
    <w:p w14:paraId="2CDE5329" w14:textId="77777777" w:rsidR="004C5179" w:rsidRPr="00561087" w:rsidRDefault="004C5179" w:rsidP="004C5179">
      <w:pPr>
        <w:pStyle w:val="Pardfaut"/>
        <w:suppressAutoHyphens/>
        <w:spacing w:before="0" w:after="299" w:line="240" w:lineRule="auto"/>
        <w:jc w:val="center"/>
        <w:rPr>
          <w:rFonts w:ascii="Garamond" w:eastAsia="Garamond" w:hAnsi="Garamond" w:cs="Garamond"/>
          <w:b/>
          <w:bCs/>
          <w:sz w:val="34"/>
          <w:szCs w:val="34"/>
          <w:lang w:val="en-US"/>
        </w:rPr>
      </w:pPr>
      <w:r>
        <w:rPr>
          <w:rFonts w:ascii="Garamond" w:hAnsi="Garamond"/>
          <w:b/>
          <w:bCs/>
          <w:sz w:val="34"/>
          <w:szCs w:val="34"/>
          <w:lang w:val="en-US"/>
        </w:rPr>
        <w:lastRenderedPageBreak/>
        <w:t xml:space="preserve">Concept note </w:t>
      </w:r>
      <w:r>
        <w:rPr>
          <w:rFonts w:ascii="Garamond" w:hAnsi="Garamond"/>
          <w:b/>
          <w:bCs/>
          <w:sz w:val="34"/>
          <w:szCs w:val="34"/>
          <w:lang w:val="en-US"/>
        </w:rPr>
        <w:br/>
        <w:t>General Comment on the Application of the International Covenant on Economic, Social and Cultural Rights in Situations of Armed Conflicts</w:t>
      </w:r>
    </w:p>
    <w:p w14:paraId="682927FB" w14:textId="77777777" w:rsidR="004C5179" w:rsidRPr="00561087" w:rsidRDefault="004C5179" w:rsidP="004C5179">
      <w:pPr>
        <w:pStyle w:val="Pardfaut"/>
        <w:suppressAutoHyphens/>
        <w:spacing w:before="0" w:after="240" w:line="240" w:lineRule="auto"/>
        <w:jc w:val="center"/>
        <w:rPr>
          <w:rFonts w:ascii="Garamond" w:eastAsia="Garamond" w:hAnsi="Garamond" w:cs="Garamond"/>
          <w:b/>
          <w:bCs/>
          <w:lang w:val="en-US"/>
        </w:rPr>
      </w:pPr>
      <w:r>
        <w:rPr>
          <w:rFonts w:ascii="Garamond" w:hAnsi="Garamond"/>
          <w:b/>
          <w:bCs/>
          <w:lang w:val="en-US"/>
        </w:rPr>
        <w:t>Committee on Economic, Social and Cultural Rights (CESCR)</w:t>
      </w:r>
    </w:p>
    <w:p w14:paraId="0DEFAB18" w14:textId="77777777" w:rsidR="004C5179" w:rsidRDefault="004C5179" w:rsidP="004C5179">
      <w:pPr>
        <w:pStyle w:val="Pardfaut"/>
        <w:suppressAutoHyphens/>
        <w:spacing w:before="0" w:after="299" w:line="240" w:lineRule="auto"/>
        <w:jc w:val="both"/>
        <w:rPr>
          <w:rFonts w:ascii="Garamond" w:eastAsia="Garamond" w:hAnsi="Garamond" w:cs="Garamond"/>
          <w:b/>
          <w:bCs/>
          <w:sz w:val="36"/>
          <w:szCs w:val="36"/>
        </w:rPr>
      </w:pPr>
      <w:r>
        <w:rPr>
          <w:rFonts w:ascii="Garamond" w:hAnsi="Garamond"/>
          <w:b/>
          <w:bCs/>
          <w:sz w:val="36"/>
          <w:szCs w:val="36"/>
        </w:rPr>
        <w:t>I. Introduction</w:t>
      </w:r>
    </w:p>
    <w:p w14:paraId="3E836234"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 xml:space="preserve">The Committee on Economic, Social and Cultural Rights has decided to elaborate a General Comment on the application of the </w:t>
      </w:r>
      <w:r>
        <w:rPr>
          <w:rStyle w:val="Aucun"/>
          <w:rFonts w:ascii="Garamond" w:hAnsi="Garamond"/>
          <w:i/>
          <w:iCs/>
          <w:lang w:val="en-US"/>
        </w:rPr>
        <w:t>International Covenant on Economic, Social and Cultural Rights (ICESCR)</w:t>
      </w:r>
      <w:r>
        <w:rPr>
          <w:rFonts w:ascii="Garamond" w:hAnsi="Garamond"/>
          <w:lang w:val="en-US"/>
        </w:rPr>
        <w:t xml:space="preserve"> in situations of armed conflicts. This includes international and non-international armed conflicts, foreign military intervention, military occupation, other conflict-related situations in which States exercise jurisdiction or effective control, and obligations arising from activities conducted within a </w:t>
      </w:r>
      <w:proofErr w:type="gramStart"/>
      <w:r>
        <w:rPr>
          <w:rFonts w:ascii="Garamond" w:hAnsi="Garamond"/>
          <w:lang w:val="en-US"/>
        </w:rPr>
        <w:t>State’s</w:t>
      </w:r>
      <w:proofErr w:type="gramEnd"/>
      <w:r>
        <w:rPr>
          <w:rFonts w:ascii="Garamond" w:hAnsi="Garamond"/>
          <w:lang w:val="en-US"/>
        </w:rPr>
        <w:t xml:space="preserve"> jurisdiction that may foreseeably contribute to violations of economic, social and cultural rights in situations of armed conflicts. This initiative reflects the urgency of addressing the profound impacts that armed conflicts have on economic, social and cultural rights (ESCR).</w:t>
      </w:r>
    </w:p>
    <w:p w14:paraId="515B3E5B"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Contemporary conflicts are marked by fragmentation of authority, the proliferation of armed actors, deliberate attacks on civilian infrastructure and essential services, mass displacement, widespread food and water insecurity, and the collapse of health, education and social protection systems. These processes produce systemic and enduring patterns of deprivation that undermine rights guaranteed under the Covenant, including work, social security, family protection, health, adequate food, water and sanitation, housing, education, participation in cultural life and access to science.</w:t>
      </w:r>
    </w:p>
    <w:p w14:paraId="3473FE41"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 xml:space="preserve">The Covenant contains no derogation clause. Its obligations therefore </w:t>
      </w:r>
      <w:proofErr w:type="gramStart"/>
      <w:r>
        <w:rPr>
          <w:rFonts w:ascii="Garamond" w:hAnsi="Garamond"/>
          <w:lang w:val="en-US"/>
        </w:rPr>
        <w:t xml:space="preserve">apply </w:t>
      </w:r>
      <w:r>
        <w:rPr>
          <w:rStyle w:val="Aucun"/>
          <w:rFonts w:ascii="Garamond" w:hAnsi="Garamond"/>
          <w:i/>
          <w:iCs/>
          <w:lang w:val="en-US"/>
        </w:rPr>
        <w:t>at all times</w:t>
      </w:r>
      <w:proofErr w:type="gramEnd"/>
      <w:r>
        <w:rPr>
          <w:rFonts w:ascii="Garamond" w:hAnsi="Garamond"/>
          <w:lang w:val="en-US"/>
        </w:rPr>
        <w:t xml:space="preserve">, including during armed conflicts, occupation and public emergency. While Article 2(1) </w:t>
      </w:r>
      <w:proofErr w:type="spellStart"/>
      <w:r>
        <w:rPr>
          <w:rFonts w:ascii="Garamond" w:hAnsi="Garamond"/>
          <w:lang w:val="en-US"/>
        </w:rPr>
        <w:t>recognises</w:t>
      </w:r>
      <w:proofErr w:type="spellEnd"/>
      <w:r>
        <w:rPr>
          <w:rFonts w:ascii="Garamond" w:hAnsi="Garamond"/>
          <w:lang w:val="en-US"/>
        </w:rPr>
        <w:t xml:space="preserve"> progressive </w:t>
      </w:r>
      <w:proofErr w:type="spellStart"/>
      <w:r>
        <w:rPr>
          <w:rFonts w:ascii="Garamond" w:hAnsi="Garamond"/>
          <w:lang w:val="en-US"/>
        </w:rPr>
        <w:t>realisation</w:t>
      </w:r>
      <w:proofErr w:type="spellEnd"/>
      <w:r>
        <w:rPr>
          <w:rFonts w:ascii="Garamond" w:hAnsi="Garamond"/>
          <w:lang w:val="en-US"/>
        </w:rPr>
        <w:t xml:space="preserve">, States remain bound by immediate obligations, including non-discrimination, equality between men and women, and the duty to secure minimum essential levels of each right. Article 4 permits restrictions only when established by law, necessary, proportionate, non-discriminatory, and compatible with the nature of the rights concerned. In situations of armed conflicts, these safeguards require heightened scrutiny, and restrictions amounting to </w:t>
      </w:r>
      <w:r w:rsidRPr="00803DA5">
        <w:rPr>
          <w:rStyle w:val="Aucun"/>
          <w:rFonts w:ascii="Garamond" w:hAnsi="Garamond"/>
          <w:i/>
          <w:iCs/>
          <w:lang w:val="en-US"/>
        </w:rPr>
        <w:t>de facto</w:t>
      </w:r>
      <w:r>
        <w:rPr>
          <w:rFonts w:ascii="Garamond" w:hAnsi="Garamond"/>
          <w:lang w:val="en-US"/>
        </w:rPr>
        <w:t xml:space="preserve"> derogation are incompatible with the Covenant.</w:t>
      </w:r>
    </w:p>
    <w:p w14:paraId="60EDCB3E" w14:textId="77777777" w:rsidR="004C5179" w:rsidRPr="00286BE5"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Despite the Covenant</w:t>
      </w:r>
      <w:r>
        <w:rPr>
          <w:rFonts w:ascii="Garamond" w:hAnsi="Garamond"/>
          <w:rtl/>
        </w:rPr>
        <w:t>’</w:t>
      </w:r>
      <w:r>
        <w:rPr>
          <w:rFonts w:ascii="Garamond" w:hAnsi="Garamond"/>
          <w:lang w:val="en-US"/>
        </w:rPr>
        <w:t xml:space="preserve">s clarity, its application in armed conflicts remains underdeveloped in doctrine and practice, creating interpretive uncertainty and protection gaps. Fragmentation between international human rights law (IHRL) and international humanitarian law (IHL) further complicates </w:t>
      </w:r>
      <w:r w:rsidRPr="00561087">
        <w:rPr>
          <w:rFonts w:ascii="Garamond" w:hAnsi="Garamond"/>
          <w:lang w:val="en-US"/>
        </w:rPr>
        <w:t xml:space="preserve">the protection of all </w:t>
      </w:r>
      <w:proofErr w:type="gramStart"/>
      <w:r w:rsidRPr="00561087">
        <w:rPr>
          <w:rFonts w:ascii="Garamond" w:hAnsi="Garamond"/>
          <w:lang w:val="en-US"/>
        </w:rPr>
        <w:t>persons</w:t>
      </w:r>
      <w:proofErr w:type="gramEnd"/>
      <w:r>
        <w:rPr>
          <w:rFonts w:ascii="Garamond" w:hAnsi="Garamond"/>
          <w:lang w:val="en-US"/>
        </w:rPr>
        <w:t xml:space="preserve">. While IHL regulates conduct of hostilities, the Covenant imposes affirmative and structural obligations to sustain socio-economic conditions necessary for life, dignity and development. Properly interpreted, IHRL and IHL are complementary, and in some respects ESCR obligations extend beyond the protections afforded under IHL. </w:t>
      </w:r>
      <w:r w:rsidRPr="005A4802">
        <w:rPr>
          <w:rFonts w:ascii="Garamond" w:hAnsi="Garamond"/>
          <w:lang w:val="en-US"/>
        </w:rPr>
        <w:t xml:space="preserve">In this regard, the General Comment is not intended to restate norms comprehensively regulated by international humanitarian law, but to clarify how obligations </w:t>
      </w:r>
      <w:r w:rsidRPr="005A4802">
        <w:rPr>
          <w:rFonts w:ascii="Garamond" w:hAnsi="Garamond"/>
          <w:lang w:val="en-US"/>
        </w:rPr>
        <w:lastRenderedPageBreak/>
        <w:t xml:space="preserve">under the Covenant operate alongside, </w:t>
      </w:r>
      <w:proofErr w:type="gramStart"/>
      <w:r w:rsidRPr="005A4802">
        <w:rPr>
          <w:rFonts w:ascii="Garamond" w:hAnsi="Garamond"/>
          <w:lang w:val="en-US"/>
        </w:rPr>
        <w:t>and in</w:t>
      </w:r>
      <w:proofErr w:type="gramEnd"/>
      <w:r w:rsidRPr="005A4802">
        <w:rPr>
          <w:rFonts w:ascii="Garamond" w:hAnsi="Garamond"/>
          <w:lang w:val="en-US"/>
        </w:rPr>
        <w:t xml:space="preserve"> complement to, IHL, including in areas where the Covenant provides additional or more detailed guidance.</w:t>
      </w:r>
      <w:r>
        <w:rPr>
          <w:rFonts w:ascii="Garamond" w:hAnsi="Garamond"/>
          <w:lang w:val="en-US"/>
        </w:rPr>
        <w:t xml:space="preserve"> </w:t>
      </w:r>
      <w:r w:rsidRPr="0045620B">
        <w:rPr>
          <w:rFonts w:ascii="Garamond" w:hAnsi="Garamond"/>
          <w:lang w:val="en-US"/>
        </w:rPr>
        <w:t>In this interpretative context, the General Comment will also be guided by the principles reflected in the Martens Clause, recalling that, where international humanitarian law does not regulate exhaustively a given situation, the protection of the human person continues to be informed by the principles of humanity and the dictates of public conscience.</w:t>
      </w:r>
    </w:p>
    <w:p w14:paraId="1D9AFC3E" w14:textId="77777777" w:rsidR="004C5179" w:rsidRPr="00561087" w:rsidRDefault="004C5179" w:rsidP="004C5179">
      <w:pPr>
        <w:pStyle w:val="Pardfaut"/>
        <w:suppressAutoHyphens/>
        <w:spacing w:before="0" w:line="240" w:lineRule="auto"/>
        <w:jc w:val="both"/>
        <w:rPr>
          <w:rFonts w:ascii="Garamond" w:eastAsia="Garamond" w:hAnsi="Garamond" w:cs="Garamond"/>
          <w:color w:val="808080"/>
          <w:lang w:val="en-US"/>
        </w:rPr>
      </w:pPr>
    </w:p>
    <w:p w14:paraId="5DCB8D85" w14:textId="77777777" w:rsidR="004C5179" w:rsidRPr="00561087" w:rsidRDefault="004C5179" w:rsidP="004C5179">
      <w:pPr>
        <w:pStyle w:val="Pardfaut"/>
        <w:suppressAutoHyphens/>
        <w:spacing w:before="0" w:after="299" w:line="240" w:lineRule="auto"/>
        <w:jc w:val="both"/>
        <w:rPr>
          <w:rFonts w:ascii="Garamond" w:eastAsia="Garamond" w:hAnsi="Garamond" w:cs="Garamond"/>
          <w:b/>
          <w:bCs/>
          <w:sz w:val="36"/>
          <w:szCs w:val="36"/>
          <w:lang w:val="en-US"/>
        </w:rPr>
      </w:pPr>
      <w:r>
        <w:rPr>
          <w:rFonts w:ascii="Garamond" w:hAnsi="Garamond"/>
          <w:b/>
          <w:bCs/>
          <w:sz w:val="36"/>
          <w:szCs w:val="36"/>
          <w:lang w:val="en-US"/>
        </w:rPr>
        <w:t>II. Background, Scope and Purpose of the General Comment</w:t>
      </w:r>
    </w:p>
    <w:p w14:paraId="65010D97" w14:textId="77777777" w:rsidR="004C5179" w:rsidRPr="00803DA5" w:rsidRDefault="004C5179" w:rsidP="004C5179">
      <w:pPr>
        <w:pStyle w:val="Pardfaut"/>
        <w:numPr>
          <w:ilvl w:val="0"/>
          <w:numId w:val="2"/>
        </w:numPr>
        <w:suppressAutoHyphens/>
        <w:spacing w:before="0" w:after="240" w:line="240" w:lineRule="auto"/>
        <w:jc w:val="both"/>
        <w:rPr>
          <w:rFonts w:ascii="Garamond" w:hAnsi="Garamond"/>
          <w:lang w:val="en-US"/>
        </w:rPr>
      </w:pPr>
      <w:r w:rsidRPr="00803DA5">
        <w:rPr>
          <w:rFonts w:ascii="Garamond" w:hAnsi="Garamond"/>
          <w:lang w:val="en-US"/>
        </w:rPr>
        <w:t xml:space="preserve">The main objective of the General Comment is to provide interpretative clarity and authoritative guidance on the application of the ICESCR in situations of armed </w:t>
      </w:r>
      <w:r>
        <w:rPr>
          <w:rFonts w:ascii="Garamond" w:hAnsi="Garamond"/>
          <w:lang w:val="en-US"/>
        </w:rPr>
        <w:t xml:space="preserve">conflicts. </w:t>
      </w:r>
      <w:r w:rsidRPr="00803DA5">
        <w:rPr>
          <w:rFonts w:ascii="Garamond" w:hAnsi="Garamond"/>
          <w:lang w:val="en-US"/>
        </w:rPr>
        <w:t xml:space="preserve">The General Comment will address the entire conflict cycle: structural risk and prevention, active hostilities, occupation or effective control, </w:t>
      </w:r>
      <w:proofErr w:type="spellStart"/>
      <w:r w:rsidRPr="00803DA5">
        <w:rPr>
          <w:rFonts w:ascii="Garamond" w:hAnsi="Garamond"/>
          <w:lang w:val="en-US"/>
        </w:rPr>
        <w:t>stabilisation</w:t>
      </w:r>
      <w:proofErr w:type="spellEnd"/>
      <w:r w:rsidRPr="00803DA5">
        <w:rPr>
          <w:rFonts w:ascii="Garamond" w:hAnsi="Garamond"/>
          <w:lang w:val="en-US"/>
        </w:rPr>
        <w:t xml:space="preserve"> and post-conflict reconstruction. It will clarify how Covenant obligations continue across all phases, and how ESCR protection contributes to conflict prevention, humanitarian action, transitional justice, peacebuilding and sustainable recovery. </w:t>
      </w:r>
    </w:p>
    <w:p w14:paraId="747357BB"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The General Comment will reaffirm the universality, indivisibility and interdependence of ESCR. Violations during conflict frequently produce cascading effects: destruction of water infrastructure undermines health, food security, education and livelihoods; attacks on health systems affect life expectancy, maternal care, disability inclusion and social security; disruption of education shapes long-term economic and cultural development. This heightened interdependence underscores the need for integrated and multisectoral approaches.</w:t>
      </w:r>
    </w:p>
    <w:p w14:paraId="07F9A722"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 xml:space="preserve">The General Comment will examine obligations arising from extraterritorial jurisdiction and effective control, including foreign military intervention, occupation, coalition operations and international administration. It will clarify responsibilities in situations of shared or joint authority, ensuring that fragmented governance structures do not create accountability vacuums. </w:t>
      </w:r>
      <w:r w:rsidRPr="00EE0DA3">
        <w:rPr>
          <w:rFonts w:ascii="Garamond" w:hAnsi="Garamond"/>
          <w:lang w:val="en-US"/>
        </w:rPr>
        <w:t>In interpreting the Covenant in situations of armed conflicts, the General Comment will clarify how Covenant obligations apply in coherence with international humanitarian law, including how the conduct of hostilities and the protection regimes established under humanitarian law may affect the practical enjoyment and implementation of economic, social and cultural rights, without prejudice to their universal applicability.</w:t>
      </w:r>
    </w:p>
    <w:p w14:paraId="0F8D831E" w14:textId="77777777" w:rsidR="004C5179" w:rsidRPr="00803DA5" w:rsidRDefault="004C5179" w:rsidP="004C5179">
      <w:pPr>
        <w:pStyle w:val="Pardfaut"/>
        <w:numPr>
          <w:ilvl w:val="0"/>
          <w:numId w:val="2"/>
        </w:numPr>
        <w:suppressAutoHyphens/>
        <w:spacing w:before="0" w:after="240" w:line="240" w:lineRule="auto"/>
        <w:jc w:val="both"/>
        <w:rPr>
          <w:rFonts w:ascii="Garamond" w:hAnsi="Garamond"/>
          <w:lang w:val="en-US"/>
        </w:rPr>
      </w:pPr>
      <w:r w:rsidRPr="00803DA5">
        <w:rPr>
          <w:rFonts w:ascii="Garamond" w:hAnsi="Garamond"/>
          <w:lang w:val="en-US"/>
        </w:rPr>
        <w:t>It will elaborate States</w:t>
      </w:r>
      <w:r w:rsidRPr="00803DA5">
        <w:rPr>
          <w:rFonts w:ascii="Garamond" w:hAnsi="Garamond"/>
          <w:rtl/>
        </w:rPr>
        <w:t xml:space="preserve">’ </w:t>
      </w:r>
      <w:r w:rsidRPr="00803DA5">
        <w:rPr>
          <w:rFonts w:ascii="Garamond" w:hAnsi="Garamond"/>
          <w:lang w:val="en-US"/>
        </w:rPr>
        <w:t xml:space="preserve">obligations to respect, protect, fulfil and prevent violations of ESCR in conflict settings. Respect obligations include absolute prohibitions on the use of starvation as a method of warfare, obstruction of medical care, destruction of essential civilian infrastructure and denial of humanitarian access. Protection obligations require States to prevent, investigate, punish and redress violations of ESCR by third parties, including non-State armed groups, private military and security companies, and business enterprises. Fulfilment obligations require maintaining minimum essential levels, </w:t>
      </w:r>
      <w:proofErr w:type="spellStart"/>
      <w:r w:rsidRPr="00803DA5">
        <w:rPr>
          <w:rFonts w:ascii="Garamond" w:hAnsi="Garamond"/>
          <w:lang w:val="en-US"/>
        </w:rPr>
        <w:t>prioritising</w:t>
      </w:r>
      <w:proofErr w:type="spellEnd"/>
      <w:r w:rsidRPr="00803DA5">
        <w:rPr>
          <w:rFonts w:ascii="Garamond" w:hAnsi="Garamond"/>
          <w:lang w:val="en-US"/>
        </w:rPr>
        <w:t xml:space="preserve"> essential services, safeguarding fiscal space for social expenditure, adopting rights-based budgeting, and </w:t>
      </w:r>
      <w:proofErr w:type="spellStart"/>
      <w:r w:rsidRPr="00803DA5">
        <w:rPr>
          <w:rFonts w:ascii="Garamond" w:hAnsi="Garamond"/>
          <w:lang w:val="en-US"/>
        </w:rPr>
        <w:t>mobilising</w:t>
      </w:r>
      <w:proofErr w:type="spellEnd"/>
      <w:r w:rsidRPr="00803DA5">
        <w:rPr>
          <w:rFonts w:ascii="Garamond" w:hAnsi="Garamond"/>
          <w:lang w:val="en-US"/>
        </w:rPr>
        <w:t xml:space="preserve"> international assistance and cooperation. Conflict-related fiscal decisions –such as emergency budgeting, increased military expenditure or austerity measures – must be assessed for compatibility with minimum core obligations, non-regression and transparency.</w:t>
      </w:r>
    </w:p>
    <w:p w14:paraId="42EBDF7A"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lastRenderedPageBreak/>
        <w:t xml:space="preserve">The Committee will address the differentiated and intersectional impacts of conflict on women and girls, children, older persons, persons with disabilities, refugees and internally displaced persons, </w:t>
      </w:r>
      <w:r w:rsidRPr="00561087">
        <w:rPr>
          <w:rFonts w:ascii="Garamond" w:hAnsi="Garamond"/>
          <w:lang w:val="en-US"/>
        </w:rPr>
        <w:t>Indigenous P</w:t>
      </w:r>
      <w:r>
        <w:rPr>
          <w:rFonts w:ascii="Garamond" w:hAnsi="Garamond"/>
          <w:lang w:val="en-US"/>
        </w:rPr>
        <w:t>eoples, minorities and persons living in poverty. Guaranteeing non-discrimination requires targeted measures, reasonable accommodation, participation of affected communities and accessible remedies.</w:t>
      </w:r>
    </w:p>
    <w:p w14:paraId="6DE93365" w14:textId="77777777" w:rsidR="004C5179" w:rsidRPr="00832445"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 xml:space="preserve">The General Comment will consider accountability, remedies and reparations, including judicial and quasi-judicial mechanisms, evidentiary standards adapted to conflict contexts, transitional justice </w:t>
      </w:r>
      <w:r w:rsidRPr="00561087">
        <w:rPr>
          <w:rFonts w:ascii="Garamond" w:hAnsi="Garamond"/>
          <w:lang w:val="en-US"/>
        </w:rPr>
        <w:t xml:space="preserve">and </w:t>
      </w:r>
      <w:proofErr w:type="spellStart"/>
      <w:r w:rsidRPr="00561087">
        <w:rPr>
          <w:rFonts w:ascii="Garamond" w:hAnsi="Garamond"/>
          <w:lang w:val="en-US"/>
        </w:rPr>
        <w:t>memorialisation</w:t>
      </w:r>
      <w:proofErr w:type="spellEnd"/>
      <w:r w:rsidRPr="00561087">
        <w:rPr>
          <w:rFonts w:ascii="Garamond" w:hAnsi="Garamond"/>
          <w:lang w:val="en-US"/>
        </w:rPr>
        <w:t xml:space="preserve"> </w:t>
      </w:r>
      <w:r>
        <w:rPr>
          <w:rFonts w:ascii="Garamond" w:hAnsi="Garamond"/>
          <w:lang w:val="en-US"/>
        </w:rPr>
        <w:t>processes and guarantees of non-repetition.</w:t>
      </w:r>
    </w:p>
    <w:p w14:paraId="26658EFF" w14:textId="77777777" w:rsidR="004C5179" w:rsidRPr="00561087" w:rsidRDefault="004C5179" w:rsidP="004C5179">
      <w:pPr>
        <w:pStyle w:val="Pardfaut"/>
        <w:suppressAutoHyphens/>
        <w:spacing w:before="0" w:after="299" w:line="240" w:lineRule="auto"/>
        <w:jc w:val="both"/>
        <w:rPr>
          <w:rFonts w:ascii="Garamond" w:eastAsia="Garamond" w:hAnsi="Garamond" w:cs="Garamond"/>
          <w:b/>
          <w:bCs/>
          <w:sz w:val="36"/>
          <w:szCs w:val="36"/>
          <w:lang w:val="en-US"/>
        </w:rPr>
      </w:pPr>
      <w:r>
        <w:rPr>
          <w:rFonts w:ascii="Garamond" w:hAnsi="Garamond"/>
          <w:b/>
          <w:bCs/>
          <w:sz w:val="36"/>
          <w:szCs w:val="36"/>
          <w:lang w:val="en-US"/>
        </w:rPr>
        <w:t>III. Issues on Which Inputs Are Invited</w:t>
      </w:r>
    </w:p>
    <w:p w14:paraId="212B964B"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The Committee welcomes inputs that may be doctrinal, analytical, empirical or practice-based, including case studies, examples of State practice, humanitarian reporting, operational insights, field documentation and testimonies from conflict-affected communities, with a view to assisting the Committee in clarifying obligations of State parties and other actors under the Covenant in situations of armed conflicts.</w:t>
      </w:r>
      <w:r w:rsidRPr="00561087">
        <w:rPr>
          <w:rFonts w:ascii="Garamond" w:hAnsi="Garamond"/>
          <w:lang w:val="en-US"/>
        </w:rPr>
        <w:t xml:space="preserve"> </w:t>
      </w:r>
      <w:r>
        <w:rPr>
          <w:rFonts w:ascii="Garamond" w:hAnsi="Garamond"/>
          <w:lang w:val="en-US"/>
        </w:rPr>
        <w:t>The list below is purely illustrative and does not limit the scope of submissions.</w:t>
      </w:r>
    </w:p>
    <w:p w14:paraId="203183EE" w14:textId="77777777" w:rsidR="004C5179" w:rsidRDefault="004C5179" w:rsidP="004C5179">
      <w:pPr>
        <w:pStyle w:val="Pardfaut"/>
        <w:suppressAutoHyphens/>
        <w:spacing w:before="0" w:after="281" w:line="240" w:lineRule="auto"/>
        <w:jc w:val="both"/>
        <w:rPr>
          <w:rFonts w:ascii="Garamond" w:eastAsia="Garamond" w:hAnsi="Garamond" w:cs="Garamond"/>
          <w:b/>
          <w:bCs/>
          <w:sz w:val="28"/>
          <w:szCs w:val="28"/>
        </w:rPr>
      </w:pPr>
      <w:r>
        <w:rPr>
          <w:rFonts w:ascii="Garamond" w:hAnsi="Garamond"/>
          <w:b/>
          <w:bCs/>
          <w:sz w:val="28"/>
          <w:szCs w:val="28"/>
          <w:lang w:val="en-US"/>
        </w:rPr>
        <w:t>Continuous applicability of the Covenant</w:t>
      </w:r>
    </w:p>
    <w:p w14:paraId="269EFC48"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Interpretation of the Covenant</w:t>
      </w:r>
      <w:r>
        <w:rPr>
          <w:rFonts w:ascii="Garamond" w:hAnsi="Garamond"/>
          <w:rtl/>
        </w:rPr>
        <w:t>’</w:t>
      </w:r>
      <w:r>
        <w:rPr>
          <w:rFonts w:ascii="Garamond" w:hAnsi="Garamond"/>
          <w:lang w:val="en-US"/>
        </w:rPr>
        <w:t xml:space="preserve">s uninterrupted applicability; application of Article 4; distinction between lawful limitations and impermissible </w:t>
      </w:r>
      <w:r w:rsidRPr="00803DA5">
        <w:rPr>
          <w:rStyle w:val="Aucun"/>
          <w:rFonts w:ascii="Garamond" w:hAnsi="Garamond"/>
          <w:i/>
          <w:iCs/>
          <w:lang w:val="en-US"/>
        </w:rPr>
        <w:t>de facto</w:t>
      </w:r>
      <w:r w:rsidRPr="00561087">
        <w:rPr>
          <w:rFonts w:ascii="Garamond" w:hAnsi="Garamond"/>
          <w:lang w:val="en-US"/>
        </w:rPr>
        <w:t xml:space="preserve"> derogations; </w:t>
      </w:r>
      <w:r w:rsidRPr="00D1050C">
        <w:rPr>
          <w:rFonts w:ascii="Garamond" w:hAnsi="Garamond"/>
          <w:lang w:val="en-US"/>
        </w:rPr>
        <w:t>identification and application of minimum core obligations, in accordance with the Committee’s General Comment No. 3, as non-deferrable duties even in situations of armed conflicts.</w:t>
      </w:r>
    </w:p>
    <w:p w14:paraId="3C412030" w14:textId="77777777" w:rsidR="004C5179" w:rsidRPr="00561087" w:rsidRDefault="004C5179" w:rsidP="004C5179">
      <w:pPr>
        <w:pStyle w:val="Pardfaut"/>
        <w:suppressAutoHyphens/>
        <w:spacing w:before="0" w:after="281" w:line="240" w:lineRule="auto"/>
        <w:jc w:val="both"/>
        <w:rPr>
          <w:rFonts w:ascii="Garamond" w:eastAsia="Garamond" w:hAnsi="Garamond" w:cs="Garamond"/>
          <w:b/>
          <w:bCs/>
          <w:sz w:val="28"/>
          <w:szCs w:val="28"/>
          <w:lang w:val="en-US"/>
        </w:rPr>
      </w:pPr>
      <w:r w:rsidRPr="00561087">
        <w:rPr>
          <w:rFonts w:ascii="Garamond" w:hAnsi="Garamond"/>
          <w:b/>
          <w:bCs/>
          <w:sz w:val="28"/>
          <w:szCs w:val="28"/>
          <w:lang w:val="en-US"/>
        </w:rPr>
        <w:t>Interaction and C</w:t>
      </w:r>
      <w:r>
        <w:rPr>
          <w:rFonts w:ascii="Garamond" w:hAnsi="Garamond"/>
          <w:b/>
          <w:bCs/>
          <w:sz w:val="28"/>
          <w:szCs w:val="28"/>
          <w:lang w:val="en-US"/>
        </w:rPr>
        <w:t>omplementarity between ICESCR and international humanitarian law</w:t>
      </w:r>
    </w:p>
    <w:p w14:paraId="297C9699"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 xml:space="preserve">Interaction between IHRL and IHL; </w:t>
      </w:r>
      <w:r w:rsidRPr="000D31FA">
        <w:rPr>
          <w:rFonts w:ascii="Garamond" w:hAnsi="Garamond"/>
          <w:lang w:val="en-US"/>
        </w:rPr>
        <w:t>including issues not exhaustively regulated under IHL, such as access to essential services for civilian populations in protracted armed conflicts;</w:t>
      </w:r>
      <w:r>
        <w:rPr>
          <w:rFonts w:ascii="Garamond" w:hAnsi="Garamond"/>
          <w:lang w:val="en-US"/>
        </w:rPr>
        <w:t xml:space="preserve"> areas where ESCR obligations extend beyond IHL protections; protection of essential civilian services (healthcare, food systems, water and sanitation, housing, education, cultural heritage, energy and digital infrastructure</w:t>
      </w:r>
      <w:r w:rsidRPr="00811E7F">
        <w:rPr>
          <w:rFonts w:ascii="Garamond" w:hAnsi="Garamond"/>
          <w:lang w:val="en-US"/>
        </w:rPr>
        <w:t>); impact of sieges, blockades, cyber operations and hybrid warfare</w:t>
      </w:r>
      <w:r>
        <w:rPr>
          <w:rFonts w:ascii="Garamond" w:hAnsi="Garamond"/>
          <w:lang w:val="en-US"/>
        </w:rPr>
        <w:t xml:space="preserve">; </w:t>
      </w:r>
      <w:r w:rsidRPr="000D31FA">
        <w:rPr>
          <w:rFonts w:ascii="Garamond" w:hAnsi="Garamond"/>
          <w:lang w:val="en-US"/>
        </w:rPr>
        <w:t>with particular attention to dual-use infrastructure such as energy, water and transport systems essential to the enjoyment of ESCR</w:t>
      </w:r>
      <w:r>
        <w:rPr>
          <w:rFonts w:ascii="Garamond" w:hAnsi="Garamond"/>
          <w:lang w:val="en-US"/>
        </w:rPr>
        <w:t xml:space="preserve">. </w:t>
      </w:r>
    </w:p>
    <w:p w14:paraId="2BAA3829" w14:textId="77777777" w:rsidR="004C5179" w:rsidRPr="00561087" w:rsidRDefault="004C5179" w:rsidP="004C5179">
      <w:pPr>
        <w:pStyle w:val="Pardfaut"/>
        <w:suppressAutoHyphens/>
        <w:spacing w:before="0" w:after="281" w:line="240" w:lineRule="auto"/>
        <w:jc w:val="both"/>
        <w:rPr>
          <w:rFonts w:ascii="Garamond" w:eastAsia="Garamond" w:hAnsi="Garamond" w:cs="Garamond"/>
          <w:b/>
          <w:bCs/>
          <w:sz w:val="28"/>
          <w:szCs w:val="28"/>
          <w:lang w:val="en-US"/>
        </w:rPr>
      </w:pPr>
      <w:r>
        <w:rPr>
          <w:rFonts w:ascii="Garamond" w:hAnsi="Garamond"/>
          <w:b/>
          <w:bCs/>
          <w:sz w:val="28"/>
          <w:szCs w:val="28"/>
          <w:lang w:val="en-US"/>
        </w:rPr>
        <w:t>Impact of armed conflicts on rights under Articles 1, 2, 3 and 6</w:t>
      </w:r>
      <w:r w:rsidRPr="00561087">
        <w:rPr>
          <w:rFonts w:ascii="Garamond" w:hAnsi="Garamond"/>
          <w:b/>
          <w:bCs/>
          <w:sz w:val="28"/>
          <w:szCs w:val="28"/>
          <w:lang w:val="en-US"/>
        </w:rPr>
        <w:t>–15</w:t>
      </w:r>
    </w:p>
    <w:p w14:paraId="3C3948CC"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Effects on self-determination; non-discrimination and equality; work; social security; family and child protection; adequate food, water and housing; health (physical, mental, public health); education; participation in cultural life and science; and the right to a clean, healthy and sustainable environment.</w:t>
      </w:r>
    </w:p>
    <w:p w14:paraId="7CAA9405" w14:textId="77777777" w:rsidR="004C5179" w:rsidRDefault="004C5179" w:rsidP="004C5179">
      <w:pPr>
        <w:pStyle w:val="Pardfaut"/>
        <w:suppressAutoHyphens/>
        <w:spacing w:before="0" w:after="281" w:line="240" w:lineRule="auto"/>
        <w:jc w:val="both"/>
        <w:rPr>
          <w:rFonts w:ascii="Garamond" w:eastAsia="Garamond" w:hAnsi="Garamond" w:cs="Garamond"/>
          <w:b/>
          <w:bCs/>
          <w:sz w:val="28"/>
          <w:szCs w:val="28"/>
        </w:rPr>
      </w:pPr>
      <w:r>
        <w:rPr>
          <w:rFonts w:ascii="Garamond" w:hAnsi="Garamond"/>
          <w:b/>
          <w:bCs/>
          <w:sz w:val="28"/>
          <w:szCs w:val="28"/>
          <w:lang w:val="en-US"/>
        </w:rPr>
        <w:t>Interdependence and indivisibility of ESCR</w:t>
      </w:r>
    </w:p>
    <w:p w14:paraId="36FD82D2"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lastRenderedPageBreak/>
        <w:t xml:space="preserve">Cascading and cross-sectoral impacts of ESCR violations across health, food, water, housing, education, livelihoods and social protection; identification of systemic interlinkages aggravated in armed conflicts; implications for minimum essential levels and </w:t>
      </w:r>
      <w:proofErr w:type="spellStart"/>
      <w:r>
        <w:rPr>
          <w:rFonts w:ascii="Garamond" w:hAnsi="Garamond"/>
          <w:lang w:val="en-US"/>
        </w:rPr>
        <w:t>prioritisation</w:t>
      </w:r>
      <w:proofErr w:type="spellEnd"/>
      <w:r>
        <w:rPr>
          <w:rFonts w:ascii="Garamond" w:hAnsi="Garamond"/>
          <w:lang w:val="en-US"/>
        </w:rPr>
        <w:t xml:space="preserve"> of essential services; proposals for integrated, multisectoral protection and recovery strategies.</w:t>
      </w:r>
    </w:p>
    <w:p w14:paraId="369087A2" w14:textId="77777777" w:rsidR="004C5179" w:rsidRPr="00561087" w:rsidRDefault="004C5179" w:rsidP="004C5179">
      <w:pPr>
        <w:pStyle w:val="Pardfaut"/>
        <w:suppressAutoHyphens/>
        <w:spacing w:before="0" w:after="281" w:line="240" w:lineRule="auto"/>
        <w:jc w:val="both"/>
        <w:rPr>
          <w:rFonts w:ascii="Garamond" w:eastAsia="Garamond" w:hAnsi="Garamond" w:cs="Garamond"/>
          <w:b/>
          <w:bCs/>
          <w:sz w:val="28"/>
          <w:szCs w:val="28"/>
          <w:lang w:val="en-US"/>
        </w:rPr>
      </w:pPr>
      <w:r>
        <w:rPr>
          <w:rFonts w:ascii="Garamond" w:hAnsi="Garamond"/>
          <w:b/>
          <w:bCs/>
          <w:sz w:val="28"/>
          <w:szCs w:val="28"/>
          <w:lang w:val="en-US"/>
        </w:rPr>
        <w:t>Obligations to respect, protect, fulfil and prevent</w:t>
      </w:r>
    </w:p>
    <w:p w14:paraId="61B0276B"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Absolute prohibitions (</w:t>
      </w:r>
      <w:r w:rsidRPr="00811E7F">
        <w:rPr>
          <w:rFonts w:ascii="Garamond" w:hAnsi="Garamond"/>
          <w:lang w:val="en-US"/>
        </w:rPr>
        <w:t>starvation</w:t>
      </w:r>
      <w:r>
        <w:rPr>
          <w:rFonts w:ascii="Garamond" w:hAnsi="Garamond"/>
          <w:lang w:val="en-US"/>
        </w:rPr>
        <w:t xml:space="preserve"> used as a weapon, denial of medical care, destruction of essential infrastructure); regulation of non-State armed groups, private military/security companies and enterprises; rights-based budgeting and maintenance of essential services; risk-informed policies and early-warning systems.</w:t>
      </w:r>
    </w:p>
    <w:p w14:paraId="3DE51E58" w14:textId="77777777" w:rsidR="004C5179" w:rsidRPr="00561087" w:rsidRDefault="004C5179" w:rsidP="004C5179">
      <w:pPr>
        <w:pStyle w:val="Pardfaut"/>
        <w:suppressAutoHyphens/>
        <w:spacing w:before="0" w:after="281" w:line="240" w:lineRule="auto"/>
        <w:jc w:val="both"/>
        <w:rPr>
          <w:rFonts w:ascii="Garamond" w:eastAsia="Garamond" w:hAnsi="Garamond" w:cs="Garamond"/>
          <w:b/>
          <w:bCs/>
          <w:sz w:val="28"/>
          <w:szCs w:val="28"/>
          <w:lang w:val="en-US"/>
        </w:rPr>
      </w:pPr>
      <w:r>
        <w:rPr>
          <w:rFonts w:ascii="Garamond" w:hAnsi="Garamond"/>
          <w:b/>
          <w:bCs/>
          <w:sz w:val="28"/>
          <w:szCs w:val="28"/>
          <w:lang w:val="en-US"/>
        </w:rPr>
        <w:t>Maximum available resources and emergency budgeting</w:t>
      </w:r>
    </w:p>
    <w:p w14:paraId="19C9F415"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Use of maximum available resources under Article 2(1) in conflict; fiscal decisions involving military expenditure, emergency budgeting or austerity; compatibility with minimum core obligations and non-regression.</w:t>
      </w:r>
    </w:p>
    <w:p w14:paraId="73A5827F" w14:textId="77777777" w:rsidR="004C5179" w:rsidRDefault="004C5179" w:rsidP="004C5179">
      <w:pPr>
        <w:pStyle w:val="Pardfaut"/>
        <w:suppressAutoHyphens/>
        <w:spacing w:before="0" w:after="281" w:line="240" w:lineRule="auto"/>
        <w:jc w:val="both"/>
        <w:rPr>
          <w:rFonts w:ascii="Garamond" w:eastAsia="Garamond" w:hAnsi="Garamond" w:cs="Garamond"/>
          <w:b/>
          <w:bCs/>
          <w:sz w:val="28"/>
          <w:szCs w:val="28"/>
        </w:rPr>
      </w:pPr>
      <w:r>
        <w:rPr>
          <w:rFonts w:ascii="Garamond" w:hAnsi="Garamond"/>
          <w:b/>
          <w:bCs/>
          <w:sz w:val="28"/>
          <w:szCs w:val="28"/>
          <w:lang w:val="en-US"/>
        </w:rPr>
        <w:t>Extraterritorial obligations and occupation</w:t>
      </w:r>
    </w:p>
    <w:p w14:paraId="2F8C3D2C"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sidRPr="00811E7F">
        <w:rPr>
          <w:rFonts w:ascii="Garamond" w:hAnsi="Garamond"/>
          <w:lang w:val="en-US"/>
        </w:rPr>
        <w:t>Obligations arising where States exercise jurisdiction or effective control abroad</w:t>
      </w:r>
      <w:r>
        <w:rPr>
          <w:rFonts w:ascii="Garamond" w:hAnsi="Garamond"/>
          <w:lang w:val="en-US"/>
        </w:rPr>
        <w:t xml:space="preserve">; duties of occupying powers; shared or joint responsibility in coalition or multilateral operations; and </w:t>
      </w:r>
      <w:r w:rsidRPr="005C52D4">
        <w:rPr>
          <w:rFonts w:ascii="Garamond" w:hAnsi="Garamond"/>
          <w:lang w:val="en-US"/>
        </w:rPr>
        <w:t>obligations relating to activities conducted within a State’s own jurisdiction</w:t>
      </w:r>
      <w:r>
        <w:rPr>
          <w:rFonts w:ascii="Garamond" w:hAnsi="Garamond"/>
          <w:lang w:val="en-US"/>
        </w:rPr>
        <w:t>, including arms transfers,</w:t>
      </w:r>
      <w:r w:rsidRPr="005C52D4">
        <w:rPr>
          <w:rFonts w:ascii="Garamond" w:hAnsi="Garamond"/>
          <w:lang w:val="en-US"/>
        </w:rPr>
        <w:t xml:space="preserve"> that </w:t>
      </w:r>
      <w:r>
        <w:rPr>
          <w:rFonts w:ascii="Garamond" w:hAnsi="Garamond"/>
          <w:lang w:val="en-US"/>
        </w:rPr>
        <w:t>may foreseeably contribute to ESCR violations in situations of armed conflicts.</w:t>
      </w:r>
    </w:p>
    <w:p w14:paraId="32137E34" w14:textId="77777777" w:rsidR="004C5179" w:rsidRDefault="004C5179" w:rsidP="004C5179">
      <w:pPr>
        <w:pStyle w:val="Pardfaut"/>
        <w:suppressAutoHyphens/>
        <w:spacing w:before="0" w:after="281" w:line="240" w:lineRule="auto"/>
        <w:jc w:val="both"/>
        <w:rPr>
          <w:rFonts w:ascii="Garamond" w:eastAsia="Garamond" w:hAnsi="Garamond" w:cs="Garamond"/>
          <w:b/>
          <w:bCs/>
          <w:sz w:val="28"/>
          <w:szCs w:val="28"/>
        </w:rPr>
      </w:pPr>
      <w:r>
        <w:rPr>
          <w:rFonts w:ascii="Garamond" w:hAnsi="Garamond"/>
          <w:b/>
          <w:bCs/>
          <w:sz w:val="28"/>
          <w:szCs w:val="28"/>
          <w:lang w:val="en-US"/>
        </w:rPr>
        <w:t>International assistance and cooperation</w:t>
      </w:r>
    </w:p>
    <w:p w14:paraId="30DD53BA"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Obligations under Articles 2(1) and 23; coherence between humanitarian, development and human rights responses; effects of sanctions and economic measures on ESCR.</w:t>
      </w:r>
    </w:p>
    <w:p w14:paraId="35E1E14F" w14:textId="77777777" w:rsidR="004C5179" w:rsidRDefault="004C5179" w:rsidP="004C5179">
      <w:pPr>
        <w:pStyle w:val="Pardfaut"/>
        <w:suppressAutoHyphens/>
        <w:spacing w:before="0" w:after="281" w:line="240" w:lineRule="auto"/>
        <w:jc w:val="both"/>
        <w:rPr>
          <w:rFonts w:ascii="Garamond" w:eastAsia="Garamond" w:hAnsi="Garamond" w:cs="Garamond"/>
          <w:b/>
          <w:bCs/>
          <w:sz w:val="28"/>
          <w:szCs w:val="28"/>
        </w:rPr>
      </w:pPr>
      <w:r>
        <w:rPr>
          <w:rFonts w:ascii="Garamond" w:hAnsi="Garamond"/>
          <w:b/>
          <w:bCs/>
          <w:sz w:val="28"/>
          <w:szCs w:val="28"/>
          <w:lang w:val="en-US"/>
        </w:rPr>
        <w:t>Responsibilities of non-State actors</w:t>
      </w:r>
    </w:p>
    <w:p w14:paraId="358D6C44"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Conduct and responsibilities of non-State armed groups; human rights due diligence of private military/security companies and business enterprises.</w:t>
      </w:r>
    </w:p>
    <w:p w14:paraId="0D7F3B02" w14:textId="77777777" w:rsidR="004C5179" w:rsidRDefault="004C5179" w:rsidP="004C5179">
      <w:pPr>
        <w:pStyle w:val="Pardfaut"/>
        <w:suppressAutoHyphens/>
        <w:spacing w:before="0" w:after="281" w:line="240" w:lineRule="auto"/>
        <w:jc w:val="both"/>
        <w:rPr>
          <w:rFonts w:ascii="Garamond" w:eastAsia="Garamond" w:hAnsi="Garamond" w:cs="Garamond"/>
          <w:b/>
          <w:bCs/>
          <w:sz w:val="28"/>
          <w:szCs w:val="28"/>
        </w:rPr>
      </w:pPr>
      <w:r>
        <w:rPr>
          <w:rFonts w:ascii="Garamond" w:hAnsi="Garamond"/>
          <w:b/>
          <w:bCs/>
          <w:sz w:val="28"/>
          <w:szCs w:val="28"/>
          <w:lang w:val="en-US"/>
        </w:rPr>
        <w:t>Accountability, remedies and reparations</w:t>
      </w:r>
    </w:p>
    <w:p w14:paraId="65076815"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Judicial and non-judicial mechanisms; evidentiary standards adapted to conflict contexts; individual, collective and structural reparations; integration of ESCR into transitional justice and peace processes.</w:t>
      </w:r>
    </w:p>
    <w:p w14:paraId="6830DBD9" w14:textId="77777777" w:rsidR="004C5179" w:rsidRPr="00561087" w:rsidRDefault="004C5179" w:rsidP="004C5179">
      <w:pPr>
        <w:pStyle w:val="Pardfaut"/>
        <w:suppressAutoHyphens/>
        <w:spacing w:before="0" w:after="281" w:line="240" w:lineRule="auto"/>
        <w:rPr>
          <w:rFonts w:ascii="Garamond" w:eastAsia="Garamond" w:hAnsi="Garamond" w:cs="Garamond"/>
          <w:b/>
          <w:bCs/>
          <w:sz w:val="28"/>
          <w:szCs w:val="28"/>
          <w:lang w:val="en-US"/>
        </w:rPr>
      </w:pPr>
      <w:r>
        <w:rPr>
          <w:rFonts w:ascii="Garamond" w:hAnsi="Garamond"/>
          <w:b/>
          <w:bCs/>
          <w:sz w:val="28"/>
          <w:szCs w:val="28"/>
          <w:lang w:val="en-US"/>
        </w:rPr>
        <w:t xml:space="preserve">Integration into </w:t>
      </w:r>
      <w:proofErr w:type="gramStart"/>
      <w:r>
        <w:rPr>
          <w:rFonts w:ascii="Garamond" w:hAnsi="Garamond"/>
          <w:b/>
          <w:bCs/>
          <w:sz w:val="28"/>
          <w:szCs w:val="28"/>
          <w:lang w:val="en-US"/>
        </w:rPr>
        <w:t>peace-building</w:t>
      </w:r>
      <w:proofErr w:type="gramEnd"/>
      <w:r>
        <w:rPr>
          <w:rFonts w:ascii="Garamond" w:hAnsi="Garamond"/>
          <w:b/>
          <w:bCs/>
          <w:sz w:val="28"/>
          <w:szCs w:val="28"/>
          <w:lang w:val="en-US"/>
        </w:rPr>
        <w:t>, reconstruction and sustainable recovery</w:t>
      </w:r>
    </w:p>
    <w:p w14:paraId="356EF517" w14:textId="77777777" w:rsidR="004C5179" w:rsidRDefault="004C5179" w:rsidP="004C5179">
      <w:pPr>
        <w:pStyle w:val="Pardfaut"/>
        <w:numPr>
          <w:ilvl w:val="0"/>
          <w:numId w:val="3"/>
        </w:numPr>
        <w:suppressAutoHyphens/>
        <w:spacing w:before="0" w:after="240" w:line="240" w:lineRule="auto"/>
        <w:jc w:val="both"/>
        <w:rPr>
          <w:rFonts w:ascii="Garamond" w:hAnsi="Garamond"/>
          <w:lang w:val="en-US"/>
        </w:rPr>
      </w:pPr>
      <w:r>
        <w:rPr>
          <w:rFonts w:ascii="Garamond" w:hAnsi="Garamond"/>
          <w:lang w:val="en-US"/>
        </w:rPr>
        <w:t xml:space="preserve">Integration of ESCR into peace agreements, transitional governance and reconstruction strategies; embedding ESCR commitments in constitutional and legal reforms; rights-based approaches to recovery and institutional restoration; measures addressing structural </w:t>
      </w:r>
      <w:r>
        <w:rPr>
          <w:rFonts w:ascii="Garamond" w:hAnsi="Garamond"/>
          <w:lang w:val="en-US"/>
        </w:rPr>
        <w:lastRenderedPageBreak/>
        <w:t>inequalities; links between ESCR implementation, reconciliation processes and sustainable peace.</w:t>
      </w:r>
    </w:p>
    <w:p w14:paraId="7CBD4459" w14:textId="77777777" w:rsidR="004C5179" w:rsidRPr="00561087" w:rsidRDefault="004C5179" w:rsidP="004C5179">
      <w:pPr>
        <w:pStyle w:val="Pardfaut"/>
        <w:suppressAutoHyphens/>
        <w:spacing w:before="0" w:after="281" w:line="240" w:lineRule="auto"/>
        <w:rPr>
          <w:rFonts w:ascii="Garamond" w:eastAsia="Garamond" w:hAnsi="Garamond" w:cs="Garamond"/>
          <w:b/>
          <w:bCs/>
          <w:sz w:val="28"/>
          <w:szCs w:val="28"/>
          <w:lang w:val="en-US"/>
        </w:rPr>
      </w:pPr>
      <w:r>
        <w:rPr>
          <w:rFonts w:ascii="Garamond" w:hAnsi="Garamond"/>
          <w:b/>
          <w:bCs/>
          <w:sz w:val="28"/>
          <w:szCs w:val="28"/>
          <w:lang w:val="en-US"/>
        </w:rPr>
        <w:t>Methodologies for monitoring, data collection and reporting</w:t>
      </w:r>
    </w:p>
    <w:p w14:paraId="03F4181A" w14:textId="77777777" w:rsidR="004C5179" w:rsidRDefault="004C5179" w:rsidP="004C5179">
      <w:pPr>
        <w:pStyle w:val="Pardfaut"/>
        <w:numPr>
          <w:ilvl w:val="0"/>
          <w:numId w:val="2"/>
        </w:numPr>
        <w:suppressAutoHyphens/>
        <w:spacing w:before="0" w:after="240" w:line="240" w:lineRule="auto"/>
        <w:jc w:val="both"/>
        <w:rPr>
          <w:rFonts w:ascii="Garamond" w:hAnsi="Garamond"/>
          <w:lang w:val="en-US"/>
        </w:rPr>
      </w:pPr>
      <w:r>
        <w:rPr>
          <w:rFonts w:ascii="Garamond" w:hAnsi="Garamond"/>
          <w:lang w:val="en-US"/>
        </w:rPr>
        <w:t>Strengthening ESCR monitoring in conflict settings; indicators and data-collection tools adapted to insecurity and displacement; methodologies for disaggregated data; roles of NHRIs, civil society and UN field presences in verification and reporting; integration of conflict-related data into State party reports under Articles 16 and 17 of the Covenant.</w:t>
      </w:r>
    </w:p>
    <w:p w14:paraId="464D4409" w14:textId="77777777" w:rsidR="004C5179" w:rsidRPr="00561087" w:rsidRDefault="004C5179" w:rsidP="004C5179">
      <w:pPr>
        <w:pStyle w:val="Pardfaut"/>
        <w:suppressAutoHyphens/>
        <w:spacing w:before="0" w:after="240" w:line="240" w:lineRule="auto"/>
        <w:rPr>
          <w:rFonts w:ascii="Garamond" w:eastAsia="Garamond" w:hAnsi="Garamond" w:cs="Garamond"/>
          <w:lang w:val="en-US"/>
        </w:rPr>
      </w:pPr>
    </w:p>
    <w:p w14:paraId="320CB73C" w14:textId="77777777" w:rsidR="004C5179" w:rsidRDefault="004C5179" w:rsidP="00305EF6"/>
    <w:sectPr w:rsidR="004C51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FA57" w14:textId="77777777" w:rsidR="00D33D80" w:rsidRDefault="00D33D80" w:rsidP="005A3F8E">
      <w:r>
        <w:separator/>
      </w:r>
    </w:p>
  </w:endnote>
  <w:endnote w:type="continuationSeparator" w:id="0">
    <w:p w14:paraId="6D06C107" w14:textId="77777777" w:rsidR="00D33D80" w:rsidRDefault="00D33D80" w:rsidP="005A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D8A8" w14:textId="77777777" w:rsidR="00D33D80" w:rsidRDefault="00D33D80" w:rsidP="005A3F8E">
      <w:r>
        <w:separator/>
      </w:r>
    </w:p>
  </w:footnote>
  <w:footnote w:type="continuationSeparator" w:id="0">
    <w:p w14:paraId="64BBF950" w14:textId="77777777" w:rsidR="00D33D80" w:rsidRDefault="00D33D80" w:rsidP="005A3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66B"/>
    <w:multiLevelType w:val="hybridMultilevel"/>
    <w:tmpl w:val="B664D22A"/>
    <w:numStyleLink w:val="Nombres"/>
  </w:abstractNum>
  <w:abstractNum w:abstractNumId="1" w15:restartNumberingAfterBreak="0">
    <w:nsid w:val="546F6041"/>
    <w:multiLevelType w:val="hybridMultilevel"/>
    <w:tmpl w:val="B664D22A"/>
    <w:styleLink w:val="Nombres"/>
    <w:lvl w:ilvl="0" w:tplc="499C7D2A">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A9E74E0">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2638B94C">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1E223E18">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88CC7858">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6CCA0E5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1D6C00EC">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A4361976">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1A660A34">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19640080">
    <w:abstractNumId w:val="1"/>
  </w:num>
  <w:num w:numId="2" w16cid:durableId="1127969846">
    <w:abstractNumId w:val="0"/>
  </w:num>
  <w:num w:numId="3" w16cid:durableId="1971863703">
    <w:abstractNumId w:val="0"/>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0F"/>
    <w:rsid w:val="00063D4A"/>
    <w:rsid w:val="0006572E"/>
    <w:rsid w:val="00070FFE"/>
    <w:rsid w:val="000F1D4B"/>
    <w:rsid w:val="00195D26"/>
    <w:rsid w:val="00280861"/>
    <w:rsid w:val="00303122"/>
    <w:rsid w:val="00305EF6"/>
    <w:rsid w:val="00354ECB"/>
    <w:rsid w:val="003D3C76"/>
    <w:rsid w:val="004975EE"/>
    <w:rsid w:val="004C5179"/>
    <w:rsid w:val="00532B07"/>
    <w:rsid w:val="005A3F8E"/>
    <w:rsid w:val="00747EE7"/>
    <w:rsid w:val="00844C06"/>
    <w:rsid w:val="008A3173"/>
    <w:rsid w:val="008A5820"/>
    <w:rsid w:val="008D1E78"/>
    <w:rsid w:val="008D68A3"/>
    <w:rsid w:val="00930480"/>
    <w:rsid w:val="00963DC2"/>
    <w:rsid w:val="00A04370"/>
    <w:rsid w:val="00A566D3"/>
    <w:rsid w:val="00B72056"/>
    <w:rsid w:val="00C01A8E"/>
    <w:rsid w:val="00C13E98"/>
    <w:rsid w:val="00C30627"/>
    <w:rsid w:val="00CB10DC"/>
    <w:rsid w:val="00D24697"/>
    <w:rsid w:val="00D33D80"/>
    <w:rsid w:val="00D82EA0"/>
    <w:rsid w:val="00E60279"/>
    <w:rsid w:val="00F02EE1"/>
    <w:rsid w:val="00F94E0F"/>
    <w:rsid w:val="00FD07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D756C"/>
  <w15:chartTrackingRefBased/>
  <w15:docId w15:val="{61805A5F-D9EC-EB45-AB66-F4433DD0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0F"/>
    <w:pPr>
      <w:pBdr>
        <w:top w:val="nil"/>
        <w:left w:val="nil"/>
        <w:bottom w:val="nil"/>
        <w:right w:val="nil"/>
        <w:between w:val="nil"/>
        <w:bar w:val="nil"/>
      </w:pBdr>
      <w:spacing w:after="0" w:line="240" w:lineRule="auto"/>
    </w:pPr>
    <w:rPr>
      <w:rFonts w:ascii="Times New Roman" w:eastAsiaTheme="minorEastAsia" w:hAnsi="Times New Roman" w:cs="Times New Roman"/>
      <w:kern w:val="0"/>
      <w:bdr w:val="nil"/>
      <w14:ligatures w14:val="none"/>
    </w:rPr>
  </w:style>
  <w:style w:type="paragraph" w:styleId="Heading1">
    <w:name w:val="heading 1"/>
    <w:basedOn w:val="Normal"/>
    <w:next w:val="Normal"/>
    <w:link w:val="Heading1Char"/>
    <w:uiPriority w:val="9"/>
    <w:qFormat/>
    <w:rsid w:val="00F94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E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E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E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E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E0F"/>
    <w:rPr>
      <w:rFonts w:eastAsiaTheme="majorEastAsia" w:cstheme="majorBidi"/>
      <w:color w:val="272727" w:themeColor="text1" w:themeTint="D8"/>
    </w:rPr>
  </w:style>
  <w:style w:type="paragraph" w:styleId="Title">
    <w:name w:val="Title"/>
    <w:basedOn w:val="Normal"/>
    <w:next w:val="Normal"/>
    <w:link w:val="TitleChar"/>
    <w:uiPriority w:val="10"/>
    <w:qFormat/>
    <w:rsid w:val="00F94E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E0F"/>
    <w:pPr>
      <w:spacing w:before="160"/>
      <w:jc w:val="center"/>
    </w:pPr>
    <w:rPr>
      <w:i/>
      <w:iCs/>
      <w:color w:val="404040" w:themeColor="text1" w:themeTint="BF"/>
    </w:rPr>
  </w:style>
  <w:style w:type="character" w:customStyle="1" w:styleId="QuoteChar">
    <w:name w:val="Quote Char"/>
    <w:basedOn w:val="DefaultParagraphFont"/>
    <w:link w:val="Quote"/>
    <w:uiPriority w:val="29"/>
    <w:rsid w:val="00F94E0F"/>
    <w:rPr>
      <w:i/>
      <w:iCs/>
      <w:color w:val="404040" w:themeColor="text1" w:themeTint="BF"/>
    </w:rPr>
  </w:style>
  <w:style w:type="paragraph" w:styleId="ListParagraph">
    <w:name w:val="List Paragraph"/>
    <w:basedOn w:val="Normal"/>
    <w:uiPriority w:val="34"/>
    <w:qFormat/>
    <w:rsid w:val="00F94E0F"/>
    <w:pPr>
      <w:ind w:left="720"/>
      <w:contextualSpacing/>
    </w:pPr>
  </w:style>
  <w:style w:type="character" w:styleId="IntenseEmphasis">
    <w:name w:val="Intense Emphasis"/>
    <w:basedOn w:val="DefaultParagraphFont"/>
    <w:uiPriority w:val="21"/>
    <w:qFormat/>
    <w:rsid w:val="00F94E0F"/>
    <w:rPr>
      <w:i/>
      <w:iCs/>
      <w:color w:val="0F4761" w:themeColor="accent1" w:themeShade="BF"/>
    </w:rPr>
  </w:style>
  <w:style w:type="paragraph" w:styleId="IntenseQuote">
    <w:name w:val="Intense Quote"/>
    <w:basedOn w:val="Normal"/>
    <w:next w:val="Normal"/>
    <w:link w:val="IntenseQuoteChar"/>
    <w:uiPriority w:val="30"/>
    <w:qFormat/>
    <w:rsid w:val="00F94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E0F"/>
    <w:rPr>
      <w:i/>
      <w:iCs/>
      <w:color w:val="0F4761" w:themeColor="accent1" w:themeShade="BF"/>
    </w:rPr>
  </w:style>
  <w:style w:type="character" w:styleId="IntenseReference">
    <w:name w:val="Intense Reference"/>
    <w:basedOn w:val="DefaultParagraphFont"/>
    <w:uiPriority w:val="32"/>
    <w:qFormat/>
    <w:rsid w:val="00F94E0F"/>
    <w:rPr>
      <w:b/>
      <w:bCs/>
      <w:smallCaps/>
      <w:color w:val="0F4761" w:themeColor="accent1" w:themeShade="BF"/>
      <w:spacing w:val="5"/>
    </w:rPr>
  </w:style>
  <w:style w:type="paragraph" w:customStyle="1" w:styleId="Pardfaut">
    <w:name w:val="Par défaut"/>
    <w:rsid w:val="00F94E0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eastAsia="ko-KR"/>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F94E0F"/>
    <w:rPr>
      <w:sz w:val="18"/>
      <w:szCs w:val="18"/>
    </w:rPr>
  </w:style>
  <w:style w:type="paragraph" w:styleId="CommentText">
    <w:name w:val="annotation text"/>
    <w:basedOn w:val="Normal"/>
    <w:link w:val="CommentTextChar"/>
    <w:uiPriority w:val="99"/>
    <w:unhideWhenUsed/>
    <w:rsid w:val="00F94E0F"/>
    <w:rPr>
      <w:sz w:val="20"/>
      <w:szCs w:val="20"/>
    </w:rPr>
  </w:style>
  <w:style w:type="character" w:customStyle="1" w:styleId="CommentTextChar">
    <w:name w:val="Comment Text Char"/>
    <w:basedOn w:val="DefaultParagraphFont"/>
    <w:link w:val="CommentText"/>
    <w:uiPriority w:val="99"/>
    <w:rsid w:val="00F94E0F"/>
    <w:rPr>
      <w:rFonts w:ascii="Times New Roman" w:eastAsiaTheme="minorEastAsia"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F94E0F"/>
    <w:rPr>
      <w:b/>
      <w:bCs/>
    </w:rPr>
  </w:style>
  <w:style w:type="character" w:customStyle="1" w:styleId="CommentSubjectChar">
    <w:name w:val="Comment Subject Char"/>
    <w:basedOn w:val="CommentTextChar"/>
    <w:link w:val="CommentSubject"/>
    <w:uiPriority w:val="99"/>
    <w:semiHidden/>
    <w:rsid w:val="00F94E0F"/>
    <w:rPr>
      <w:rFonts w:ascii="Times New Roman" w:eastAsiaTheme="minorEastAsia" w:hAnsi="Times New Roman" w:cs="Times New Roman"/>
      <w:b/>
      <w:bCs/>
      <w:kern w:val="0"/>
      <w:sz w:val="20"/>
      <w:szCs w:val="20"/>
      <w:bdr w:val="nil"/>
      <w14:ligatures w14:val="none"/>
    </w:rPr>
  </w:style>
  <w:style w:type="paragraph" w:styleId="Header">
    <w:name w:val="header"/>
    <w:basedOn w:val="Normal"/>
    <w:link w:val="HeaderChar"/>
    <w:uiPriority w:val="99"/>
    <w:unhideWhenUsed/>
    <w:rsid w:val="005A3F8E"/>
    <w:pPr>
      <w:tabs>
        <w:tab w:val="center" w:pos="4513"/>
        <w:tab w:val="right" w:pos="9026"/>
      </w:tabs>
    </w:pPr>
  </w:style>
  <w:style w:type="character" w:customStyle="1" w:styleId="HeaderChar">
    <w:name w:val="Header Char"/>
    <w:basedOn w:val="DefaultParagraphFont"/>
    <w:link w:val="Header"/>
    <w:uiPriority w:val="99"/>
    <w:rsid w:val="005A3F8E"/>
    <w:rPr>
      <w:rFonts w:ascii="Times New Roman" w:eastAsiaTheme="minorEastAsia" w:hAnsi="Times New Roman" w:cs="Times New Roman"/>
      <w:kern w:val="0"/>
      <w:bdr w:val="nil"/>
      <w14:ligatures w14:val="none"/>
    </w:rPr>
  </w:style>
  <w:style w:type="paragraph" w:styleId="Footer">
    <w:name w:val="footer"/>
    <w:basedOn w:val="Normal"/>
    <w:link w:val="FooterChar"/>
    <w:uiPriority w:val="99"/>
    <w:unhideWhenUsed/>
    <w:rsid w:val="005A3F8E"/>
    <w:pPr>
      <w:tabs>
        <w:tab w:val="center" w:pos="4513"/>
        <w:tab w:val="right" w:pos="9026"/>
      </w:tabs>
    </w:pPr>
  </w:style>
  <w:style w:type="character" w:customStyle="1" w:styleId="FooterChar">
    <w:name w:val="Footer Char"/>
    <w:basedOn w:val="DefaultParagraphFont"/>
    <w:link w:val="Footer"/>
    <w:uiPriority w:val="99"/>
    <w:rsid w:val="005A3F8E"/>
    <w:rPr>
      <w:rFonts w:ascii="Times New Roman" w:eastAsiaTheme="minorEastAsia" w:hAnsi="Times New Roman" w:cs="Times New Roman"/>
      <w:kern w:val="0"/>
      <w:bdr w:val="nil"/>
      <w14:ligatures w14:val="none"/>
    </w:rPr>
  </w:style>
  <w:style w:type="paragraph" w:styleId="Revision">
    <w:name w:val="Revision"/>
    <w:hidden/>
    <w:uiPriority w:val="99"/>
    <w:semiHidden/>
    <w:rsid w:val="005A3F8E"/>
    <w:pPr>
      <w:spacing w:after="0" w:line="240" w:lineRule="auto"/>
    </w:pPr>
    <w:rPr>
      <w:rFonts w:ascii="Times New Roman" w:eastAsiaTheme="minorEastAsia" w:hAnsi="Times New Roman" w:cs="Times New Roman"/>
      <w:kern w:val="0"/>
      <w:bdr w:val="nil"/>
      <w14:ligatures w14:val="none"/>
    </w:rPr>
  </w:style>
  <w:style w:type="character" w:customStyle="1" w:styleId="Aucun">
    <w:name w:val="Aucun"/>
    <w:rsid w:val="004C5179"/>
  </w:style>
  <w:style w:type="numbering" w:customStyle="1" w:styleId="Nombres">
    <w:name w:val="Nombres"/>
    <w:rsid w:val="004C5179"/>
    <w:pPr>
      <w:numPr>
        <w:numId w:val="1"/>
      </w:numPr>
    </w:pPr>
  </w:style>
  <w:style w:type="character" w:styleId="Hyperlink">
    <w:name w:val="Hyperlink"/>
    <w:basedOn w:val="DefaultParagraphFont"/>
    <w:uiPriority w:val="99"/>
    <w:unhideWhenUsed/>
    <w:rsid w:val="00A566D3"/>
    <w:rPr>
      <w:color w:val="467886" w:themeColor="hyperlink"/>
      <w:u w:val="single"/>
    </w:rPr>
  </w:style>
  <w:style w:type="character" w:styleId="UnresolvedMention">
    <w:name w:val="Unresolved Mention"/>
    <w:basedOn w:val="DefaultParagraphFont"/>
    <w:uiPriority w:val="99"/>
    <w:semiHidden/>
    <w:unhideWhenUsed/>
    <w:rsid w:val="00A5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7" ma:contentTypeDescription="Create a new document." ma:contentTypeScope="" ma:versionID="1ca8d4ac47142d165de5b84173c7f574">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c05afde50684eb31341d4cf470f2a654"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subject xmlns="fa1020ff-48ad-4b90-98f4-7161a6f3b630"> RE: Omer Faruk Yalcin-Create CFI page in English (CFIRq-8aea841f-711f-4b71-8a81-815a3f1a597d-MOD) </Emailsubject>
    <TaxCatchAll xmlns="985ec44e-1bab-4c0b-9df0-6ba128686fc9" xsi:nil="true"/>
    <lcf76f155ced4ddcb4097134ff3c332f xmlns="fa1020ff-48ad-4b90-98f4-7161a6f3b630">
      <Terms xmlns="http://schemas.microsoft.com/office/infopath/2007/PartnerControls"/>
    </lcf76f155ced4ddcb4097134ff3c332f>
    <Sentby xmlns="fa1020ff-48ad-4b90-98f4-7161a6f3b630">
      <UserInfo>
        <DisplayName>Omer Faruk Yalcin</DisplayName>
        <AccountId>2271</AccountId>
        <AccountType/>
      </UserInfo>
    </Sentby>
  </documentManagement>
</p:properties>
</file>

<file path=customXml/itemProps1.xml><?xml version="1.0" encoding="utf-8"?>
<ds:datastoreItem xmlns:ds="http://schemas.openxmlformats.org/officeDocument/2006/customXml" ds:itemID="{198C2C4C-C547-41E7-BE27-2BE6A24C5ABD}"/>
</file>

<file path=customXml/itemProps2.xml><?xml version="1.0" encoding="utf-8"?>
<ds:datastoreItem xmlns:ds="http://schemas.openxmlformats.org/officeDocument/2006/customXml" ds:itemID="{4E2A6625-5933-448F-B637-1E35CA9BB525}"/>
</file>

<file path=customXml/itemProps3.xml><?xml version="1.0" encoding="utf-8"?>
<ds:datastoreItem xmlns:ds="http://schemas.openxmlformats.org/officeDocument/2006/customXml" ds:itemID="{52631970-DD1C-4243-B95F-D24AABB464A7}"/>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CESCR GC AC - Call for Inputs and Concept Note.docx</dc:title>
  <dc:subject/>
  <dc:creator>Omer Faruk Yalcin</dc:creator>
  <cp:keywords/>
  <dc:description/>
  <cp:lastModifiedBy>Omer Faruk Yalcin</cp:lastModifiedBy>
  <cp:revision>2</cp:revision>
  <dcterms:created xsi:type="dcterms:W3CDTF">2026-02-09T11:46:00Z</dcterms:created>
  <dcterms:modified xsi:type="dcterms:W3CDTF">2026-02-09T11:46:00Z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ies>
</file>